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01" w:type="dxa"/>
        <w:tblLook w:val="04A0" w:firstRow="1" w:lastRow="0" w:firstColumn="1" w:lastColumn="0" w:noHBand="0" w:noVBand="1"/>
      </w:tblPr>
      <w:tblGrid>
        <w:gridCol w:w="1556"/>
        <w:gridCol w:w="7908"/>
      </w:tblGrid>
      <w:tr w:rsidR="004D64EC" w:rsidTr="00F62110">
        <w:tc>
          <w:tcPr>
            <w:tcW w:w="1567" w:type="dxa"/>
            <w:shd w:val="clear" w:color="auto" w:fill="DEEAF6" w:themeFill="accent1" w:themeFillTint="33"/>
          </w:tcPr>
          <w:p w:rsidR="004D64EC" w:rsidRPr="00120C10" w:rsidRDefault="004D64EC" w:rsidP="00F6211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Компания</w:t>
            </w:r>
          </w:p>
        </w:tc>
        <w:tc>
          <w:tcPr>
            <w:tcW w:w="8128" w:type="dxa"/>
          </w:tcPr>
          <w:p w:rsidR="004D64EC" w:rsidRPr="00703370" w:rsidRDefault="00703370" w:rsidP="004D64EC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ЗАО «Русская медная компания»</w:t>
            </w:r>
          </w:p>
        </w:tc>
      </w:tr>
      <w:tr w:rsidR="004D64EC" w:rsidRPr="002B7CB8" w:rsidTr="00F62110">
        <w:tc>
          <w:tcPr>
            <w:tcW w:w="1567" w:type="dxa"/>
            <w:shd w:val="clear" w:color="auto" w:fill="DEEAF6" w:themeFill="accent1" w:themeFillTint="33"/>
          </w:tcPr>
          <w:p w:rsidR="004D64EC" w:rsidRDefault="004D64EC" w:rsidP="00F62110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Сайт</w:t>
            </w:r>
          </w:p>
        </w:tc>
        <w:tc>
          <w:tcPr>
            <w:tcW w:w="8128" w:type="dxa"/>
          </w:tcPr>
          <w:p w:rsidR="004D64EC" w:rsidRDefault="00AD0146" w:rsidP="004D64EC">
            <w:pPr>
              <w:pStyle w:val="a5"/>
              <w:rPr>
                <w:b/>
                <w:lang w:val="ru-RU"/>
              </w:rPr>
            </w:pPr>
            <w:hyperlink r:id="rId7" w:history="1">
              <w:r w:rsidR="00703370" w:rsidRPr="002C4B22">
                <w:rPr>
                  <w:rStyle w:val="a8"/>
                  <w:b/>
                  <w:lang w:val="ru-RU"/>
                </w:rPr>
                <w:t>http://rmk-group.ru/ru/</w:t>
              </w:r>
            </w:hyperlink>
            <w:r w:rsidR="00703370">
              <w:rPr>
                <w:b/>
                <w:lang w:val="ru-RU"/>
              </w:rPr>
              <w:t xml:space="preserve"> </w:t>
            </w:r>
          </w:p>
        </w:tc>
      </w:tr>
    </w:tbl>
    <w:p w:rsidR="007B5399" w:rsidRPr="00E108B5" w:rsidRDefault="007B5399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 w:hint="eastAsia"/>
          <w:b/>
        </w:rPr>
      </w:pPr>
      <w:r w:rsidRPr="00E108B5">
        <w:rPr>
          <w:rFonts w:ascii="Times New Roman Bold" w:hAnsi="Times New Roman Bold"/>
          <w:b/>
        </w:rPr>
        <w:t>Раздел 1. Экологический менеджмент и политика</w:t>
      </w:r>
    </w:p>
    <w:tbl>
      <w:tblPr>
        <w:tblW w:w="892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5"/>
        <w:gridCol w:w="2756"/>
        <w:gridCol w:w="2835"/>
        <w:gridCol w:w="2835"/>
      </w:tblGrid>
      <w:tr w:rsidR="007B5399" w:rsidRPr="007B5399" w:rsidTr="007B5399">
        <w:trPr>
          <w:cantSplit/>
          <w:trHeight w:val="313"/>
          <w:tblHeader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hint="eastAsia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399">
              <w:rPr>
                <w:rFonts w:ascii="Times New Roman" w:hAnsi="Times New Roman"/>
                <w:b/>
                <w:sz w:val="20"/>
              </w:rPr>
              <w:t>Критерий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399">
              <w:rPr>
                <w:rFonts w:ascii="Times New Roman" w:hAnsi="Times New Roman"/>
                <w:b/>
                <w:sz w:val="20"/>
              </w:rPr>
              <w:t>Учет в рейтинге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Оценка, комментарии</w:t>
            </w:r>
          </w:p>
        </w:tc>
      </w:tr>
      <w:tr w:rsidR="007B5399" w:rsidRPr="002B7CB8" w:rsidTr="00A61BEB">
        <w:trPr>
          <w:cantSplit/>
          <w:trHeight w:val="7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Наличие системы экологического менеджмента, сертифицированной на соответствие российским или международным стандартам (например, </w:t>
            </w:r>
            <w:r w:rsidRPr="007B5399">
              <w:rPr>
                <w:rFonts w:ascii="Times New Roman" w:hAnsi="Times New Roman"/>
                <w:sz w:val="20"/>
                <w:lang w:val="en-US"/>
              </w:rPr>
              <w:t>ISO</w:t>
            </w:r>
            <w:r w:rsidRPr="007B5399">
              <w:rPr>
                <w:rFonts w:ascii="Times New Roman" w:hAnsi="Times New Roman"/>
                <w:sz w:val="20"/>
              </w:rPr>
              <w:t xml:space="preserve"> 14001/ГОСТ Р ИСО 14001)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Да - зеленый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Частично (например, некоторые дочерние) – желтый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Нет - красный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6D2C" w:rsidRDefault="00DD6D2C" w:rsidP="00A52C9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</w:t>
            </w:r>
          </w:p>
          <w:p w:rsidR="007B5399" w:rsidRDefault="00703370" w:rsidP="00A52C9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2C9C">
              <w:rPr>
                <w:rFonts w:ascii="Times New Roman" w:hAnsi="Times New Roman"/>
                <w:sz w:val="20"/>
              </w:rPr>
              <w:t>Интегрированная система менеджмента в соответствии с международными стандартами ISO 14001 (Системы экологического менеджмента) и OHSAS 18001 (Системы менеджмента безопасности и охраны здоровья) внедрена и успешно функционирует на АО «Михеевский ГОК» и ЗАО «Кыштымский медеэлектролитный завод».С 2017 года осуществляется внедрение интегрированной системы менеджмента на ЗАО«Карабашмедь» и ОАО «Уралгидромедь». На всех предприятиях Компании предусматривается поэтапное внедрение интегрированных систем менеджмента.</w:t>
            </w:r>
          </w:p>
          <w:p w:rsidR="00DB04CB" w:rsidRDefault="00AD0146" w:rsidP="00A52C9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DB04CB" w:rsidRPr="00DE491B">
                <w:rPr>
                  <w:rStyle w:val="a8"/>
                  <w:rFonts w:ascii="Times New Roman" w:hAnsi="Times New Roman"/>
                  <w:sz w:val="20"/>
                </w:rPr>
                <w:t>http://rmk-group.ru/ru/sustainable_development/ecology/</w:t>
              </w:r>
            </w:hyperlink>
          </w:p>
          <w:p w:rsidR="00DB04CB" w:rsidRPr="00A52C9C" w:rsidRDefault="00DB04CB" w:rsidP="00A52C9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5399" w:rsidRPr="002B7CB8" w:rsidTr="00703370">
        <w:trPr>
          <w:trHeight w:val="46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03370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03370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Наличие в экологической политике компании (или иных утвержденных компанией документах):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подходов по снижению площади нарушенных территорий при освоении новых территорий;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подходов по сохранению пресноводных экосистем/нерестовых рек; 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обязательств по сохранению путей миграции животных;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отказа от проведения работ на особо охраняемых природных территориях (ООПТ), их охранных зонах, объектах </w:t>
            </w:r>
            <w:r w:rsidRPr="007B5399">
              <w:rPr>
                <w:rFonts w:ascii="Times New Roman" w:hAnsi="Times New Roman"/>
                <w:sz w:val="20"/>
              </w:rPr>
              <w:lastRenderedPageBreak/>
              <w:t>Всемирного природного наследия (ВПН), водно-болотных угодьях международного значения (Расмарских угодьях);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политик по опасным веществам/процессам (например, по цианидам, ртути, кучному выщелачиванию); 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политик/стандартов по приоритетному полусухому, сухому и подземному размещению отходов обогащения;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требования по проведению регулярных внешних экологических аудитов;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требования по проведению комплексной ОВОС проекта от стадии строительства до стадии ликвидации в границах реализации проекта и его аффилированных проектов;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запрета для работников, в том числе подрядных организаций, вести охоту и рыбную ловлю в зоне реализации проектов компании;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комплексной программы по финансированию основных природоохранных мероприятий;</w:t>
            </w:r>
          </w:p>
          <w:p w:rsidR="007B5399" w:rsidRPr="007B5399" w:rsidRDefault="007B5399" w:rsidP="007B5399">
            <w:pPr>
              <w:pStyle w:val="11"/>
              <w:numPr>
                <w:ilvl w:val="2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требований к экологической ответственности </w:t>
            </w:r>
            <w:r w:rsidRPr="007B5399">
              <w:rPr>
                <w:rFonts w:ascii="Times New Roman" w:hAnsi="Times New Roman"/>
                <w:sz w:val="20"/>
              </w:rPr>
              <w:lastRenderedPageBreak/>
              <w:t xml:space="preserve">партнеров в цепочках поставок.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shd w:val="clear" w:color="auto" w:fill="FFFFFF"/>
              <w:rPr>
                <w:sz w:val="20"/>
                <w:szCs w:val="20"/>
                <w:lang w:val="ru-RU" w:eastAsia="ru-RU"/>
              </w:rPr>
            </w:pPr>
            <w:r w:rsidRPr="007B5399">
              <w:rPr>
                <w:sz w:val="20"/>
                <w:szCs w:val="20"/>
                <w:lang w:val="ru-RU" w:eastAsia="ru-RU"/>
              </w:rPr>
              <w:lastRenderedPageBreak/>
              <w:t>Более 80% ответов "да" - зеленый</w:t>
            </w:r>
          </w:p>
          <w:p w:rsidR="007B5399" w:rsidRPr="007B5399" w:rsidRDefault="007B5399" w:rsidP="00A03ECA">
            <w:pPr>
              <w:shd w:val="clear" w:color="auto" w:fill="FFFFFF"/>
              <w:rPr>
                <w:sz w:val="20"/>
                <w:szCs w:val="20"/>
                <w:lang w:val="ru-RU" w:eastAsia="ru-RU"/>
              </w:rPr>
            </w:pPr>
            <w:r w:rsidRPr="007B5399">
              <w:rPr>
                <w:sz w:val="20"/>
                <w:szCs w:val="20"/>
                <w:lang w:val="ru-RU" w:eastAsia="ru-RU"/>
              </w:rPr>
              <w:t>50-80% ответов "да" - желтый</w:t>
            </w:r>
          </w:p>
          <w:p w:rsidR="007B5399" w:rsidRPr="007B5399" w:rsidRDefault="007B5399" w:rsidP="00A03ECA">
            <w:pPr>
              <w:shd w:val="clear" w:color="auto" w:fill="FFFFFF"/>
              <w:rPr>
                <w:sz w:val="20"/>
                <w:szCs w:val="20"/>
                <w:lang w:val="ru-RU" w:eastAsia="ru-RU"/>
              </w:rPr>
            </w:pPr>
            <w:r w:rsidRPr="007B5399">
              <w:rPr>
                <w:sz w:val="20"/>
                <w:szCs w:val="20"/>
                <w:lang w:val="ru-RU" w:eastAsia="ru-RU"/>
              </w:rPr>
              <w:t>Менее 50% ответов "да" - красный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7B5399" w:rsidRDefault="00DD6D2C" w:rsidP="00DD6D2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sz w:val="20"/>
              </w:rPr>
              <w:t>Более 80% ответов "да" - зеленый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B04CB" w:rsidRDefault="00AD0146" w:rsidP="00DD6D2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="00DB04CB" w:rsidRPr="00DE491B">
                <w:rPr>
                  <w:rStyle w:val="a8"/>
                  <w:rFonts w:ascii="Times New Roman" w:hAnsi="Times New Roman"/>
                  <w:sz w:val="20"/>
                </w:rPr>
                <w:t>http://rmk-group.ru/ru/sustainable_development/our_approach/</w:t>
              </w:r>
            </w:hyperlink>
          </w:p>
          <w:p w:rsidR="00DB04CB" w:rsidRDefault="00AD0146" w:rsidP="00DD6D2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="00DB04CB" w:rsidRPr="00DE491B">
                <w:rPr>
                  <w:rStyle w:val="a8"/>
                  <w:rFonts w:ascii="Times New Roman" w:hAnsi="Times New Roman"/>
                  <w:sz w:val="20"/>
                </w:rPr>
                <w:t>http://rmk-group.ru/ru/sustainable_development/ecology/</w:t>
              </w:r>
            </w:hyperlink>
          </w:p>
          <w:p w:rsidR="00DB04CB" w:rsidRDefault="00AD0146" w:rsidP="00DD6D2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="00DB04CB" w:rsidRPr="00DE491B">
                <w:rPr>
                  <w:rStyle w:val="a8"/>
                  <w:rFonts w:ascii="Times New Roman" w:hAnsi="Times New Roman"/>
                  <w:sz w:val="20"/>
                </w:rPr>
                <w:t>http://rmk-group.ru/ru/activities/enterprises/mikheevsky/</w:t>
              </w:r>
            </w:hyperlink>
          </w:p>
          <w:p w:rsidR="00DB04CB" w:rsidRDefault="00AD0146" w:rsidP="00DD6D2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="00DB04CB" w:rsidRPr="00DE491B">
                <w:rPr>
                  <w:rStyle w:val="a8"/>
                  <w:rFonts w:ascii="Times New Roman" w:hAnsi="Times New Roman"/>
                  <w:sz w:val="20"/>
                </w:rPr>
                <w:t>http://rmk-group.ru/ru/activities/enterprises/karabashmed/</w:t>
              </w:r>
            </w:hyperlink>
          </w:p>
          <w:p w:rsidR="00DB04CB" w:rsidRPr="00A52C9C" w:rsidRDefault="00DB04CB" w:rsidP="00DD6D2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5399" w:rsidRPr="00DD6D2C" w:rsidTr="008A14FD">
        <w:trPr>
          <w:trHeight w:val="9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lastRenderedPageBreak/>
              <w:t>1.3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Политика (или иной утвержденный компанией документ) по взаимодействию с местным населением, ведущим традиционный образ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Да - зеленый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Отдельного документа нет, но сведения о работе с местным населением, ведущим традиционный образ жизни, имеются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Нет – красный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</w:tcPr>
          <w:p w:rsidR="007B5399" w:rsidRDefault="00991E87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Критерий нерелевантный</w:t>
            </w:r>
          </w:p>
          <w:p w:rsidR="00F57BE9" w:rsidRPr="007B5399" w:rsidRDefault="00F57BE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5399" w:rsidRPr="002B7CB8" w:rsidTr="002E6DDA">
        <w:trPr>
          <w:trHeight w:val="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B5399">
              <w:rPr>
                <w:rFonts w:ascii="Times New Roman" w:hAnsi="Times New Roman"/>
                <w:sz w:val="20"/>
                <w:lang w:val="en-US"/>
              </w:rPr>
              <w:t>1.4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Программа по энергоэффективности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rPr>
                <w:sz w:val="20"/>
                <w:szCs w:val="20"/>
                <w:lang w:val="ru-RU" w:eastAsia="ru-RU"/>
              </w:rPr>
            </w:pPr>
            <w:r w:rsidRPr="007B5399">
              <w:rPr>
                <w:sz w:val="20"/>
                <w:szCs w:val="20"/>
                <w:lang w:val="ru-RU" w:eastAsia="ru-RU"/>
              </w:rPr>
              <w:t>Зеленый – количественные показатели результативности программы по энергоэффективности показывают положительный тренд по сравнению с предыдущим годом.</w:t>
            </w:r>
          </w:p>
          <w:p w:rsidR="007B5399" w:rsidRPr="007B5399" w:rsidRDefault="007B5399" w:rsidP="00A03ECA">
            <w:pPr>
              <w:rPr>
                <w:sz w:val="20"/>
                <w:szCs w:val="20"/>
                <w:lang w:val="ru-RU" w:eastAsia="ru-RU"/>
              </w:rPr>
            </w:pPr>
            <w:r w:rsidRPr="007B5399">
              <w:rPr>
                <w:sz w:val="20"/>
                <w:szCs w:val="20"/>
                <w:lang w:val="ru-RU" w:eastAsia="ru-RU"/>
              </w:rPr>
              <w:t>Желтый– имеются количественные показатели результативности программы по энергоэффективности.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Красный - количественных показателей результативности программы по энергоэффективности 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3F3F"/>
          </w:tcPr>
          <w:p w:rsidR="002E6DDA" w:rsidRDefault="002E6DDA" w:rsidP="00A03EC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Красный</w:t>
            </w:r>
          </w:p>
          <w:p w:rsidR="002E6DDA" w:rsidRPr="007B5399" w:rsidRDefault="008A14FD" w:rsidP="00A03ECA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 опубликована. Количественных пок</w:t>
            </w:r>
            <w:r w:rsidR="002E6DDA">
              <w:rPr>
                <w:sz w:val="20"/>
                <w:szCs w:val="20"/>
                <w:lang w:val="ru-RU" w:eastAsia="ru-RU"/>
              </w:rPr>
              <w:t>азателей в открытом доступе нет.</w:t>
            </w:r>
          </w:p>
        </w:tc>
      </w:tr>
      <w:tr w:rsidR="007B5399" w:rsidRPr="002B7CB8" w:rsidTr="00DD6D2C">
        <w:trPr>
          <w:trHeight w:val="71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B5399">
              <w:rPr>
                <w:rFonts w:ascii="Times New Roman" w:hAnsi="Times New Roman"/>
                <w:sz w:val="20"/>
                <w:lang w:val="en-US"/>
              </w:rPr>
              <w:t>1.5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Наличие программы / плана по сохранению биоразнообразия в регионах присутствия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Да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Частично (по отдельным проектам компании)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Нет – красный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B5399" w:rsidRDefault="00DD6D2C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 - частично</w:t>
            </w:r>
          </w:p>
          <w:p w:rsidR="002E6DDA" w:rsidRDefault="002E6DDA" w:rsidP="002E6DD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Компания реализует регулярные природоохранные мероприятия.</w:t>
            </w:r>
            <w:r>
              <w:t xml:space="preserve"> </w:t>
            </w:r>
            <w:r w:rsidRPr="002E6DDA">
              <w:rPr>
                <w:rFonts w:ascii="Times New Roman" w:hAnsi="Times New Roman"/>
                <w:sz w:val="20"/>
              </w:rPr>
              <w:t>АО Михеевский ГОК» и ЗАО «Ормет» в 2015 году осуществлён выпуск молоди в водные объекты.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E6DDA">
              <w:rPr>
                <w:rFonts w:ascii="Times New Roman" w:hAnsi="Times New Roman"/>
                <w:sz w:val="20"/>
              </w:rPr>
              <w:t xml:space="preserve">Место выпуска и количество выпускаемой молоди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2E6DDA">
              <w:rPr>
                <w:rFonts w:ascii="Times New Roman" w:hAnsi="Times New Roman"/>
                <w:sz w:val="20"/>
              </w:rPr>
              <w:t>огласованы Федеральным агентством по рыболовству.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E6DDA">
              <w:rPr>
                <w:rFonts w:ascii="Times New Roman" w:hAnsi="Times New Roman"/>
                <w:sz w:val="20"/>
              </w:rPr>
              <w:t xml:space="preserve">В 2017 году ЗАО Новгородский металлургический завод» запланирован выпуск молоди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2E6DDA">
              <w:rPr>
                <w:rFonts w:ascii="Times New Roman" w:hAnsi="Times New Roman"/>
                <w:sz w:val="20"/>
              </w:rPr>
              <w:t xml:space="preserve"> озеро Валдайское.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E6DDA" w:rsidRDefault="002E6DDA" w:rsidP="002E6DD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2E6DDA">
              <w:rPr>
                <w:rFonts w:ascii="Times New Roman" w:hAnsi="Times New Roman"/>
                <w:sz w:val="20"/>
              </w:rPr>
              <w:lastRenderedPageBreak/>
              <w:t>В 2018 году АО «Томинский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E6DDA">
              <w:rPr>
                <w:rFonts w:ascii="Times New Roman" w:hAnsi="Times New Roman"/>
                <w:sz w:val="20"/>
              </w:rPr>
              <w:t>ГОК» запланирован выпуск молоди в реки Обь-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E6DDA">
              <w:rPr>
                <w:rFonts w:ascii="Times New Roman" w:hAnsi="Times New Roman"/>
                <w:sz w:val="20"/>
              </w:rPr>
              <w:t>ртышского бассейна.</w:t>
            </w:r>
          </w:p>
          <w:p w:rsidR="002A2895" w:rsidRDefault="00AD0146" w:rsidP="002A2895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="002A2895" w:rsidRPr="00DE491B">
                <w:rPr>
                  <w:rStyle w:val="a8"/>
                  <w:rFonts w:ascii="Times New Roman" w:hAnsi="Times New Roman"/>
                  <w:sz w:val="20"/>
                </w:rPr>
                <w:t>http://rmk-group.ru/ru/sustainable_development/ecology/</w:t>
              </w:r>
            </w:hyperlink>
          </w:p>
          <w:p w:rsidR="002A2895" w:rsidRPr="007B5399" w:rsidRDefault="002A2895" w:rsidP="002E6DD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B5399" w:rsidRPr="007B5399" w:rsidTr="008A14FD">
        <w:trPr>
          <w:trHeight w:val="6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B5399">
              <w:rPr>
                <w:rFonts w:ascii="Times New Roman" w:hAnsi="Times New Roman"/>
                <w:sz w:val="20"/>
                <w:lang w:val="en-US"/>
              </w:rPr>
              <w:lastRenderedPageBreak/>
              <w:t>1.6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Наличие дражной отработки месторождения в бизнес-практике компании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left="360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Нет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Частично (в отдельных проектах или дочерних предприятиях)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Только рассыпное – красный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7B5399" w:rsidRPr="007B5399" w:rsidRDefault="008A14FD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Нерелевантно</w:t>
            </w:r>
          </w:p>
        </w:tc>
      </w:tr>
      <w:tr w:rsidR="007B5399" w:rsidRPr="002B7CB8" w:rsidTr="00A61BEB">
        <w:trPr>
          <w:cantSplit/>
          <w:trHeight w:val="23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Производственный и экологический контроль над деятельностью подрядчиков, физически осуществляющих работы на производственных площадках компании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Включение деятельности подрядчиков в области ООС в нефинансовую отчетность компании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Наличие в экологической политике или иных утвержденных компанией документах требований по распространению экологических стандартов компании на деятельность подрядчиков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Отсутствие в экологической политике или иных утвержденных компанией документах требований по распространению экологических стандартов компании на деятельность подрядчиков – красный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5399" w:rsidRDefault="00A61BEB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</w:t>
            </w:r>
          </w:p>
          <w:p w:rsidR="00A61BEB" w:rsidRDefault="00A61BEB" w:rsidP="00D323D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61BEB">
              <w:rPr>
                <w:rFonts w:ascii="Times New Roman" w:hAnsi="Times New Roman"/>
                <w:sz w:val="20"/>
              </w:rPr>
              <w:t>В Компании функционируют</w:t>
            </w:r>
            <w:r>
              <w:rPr>
                <w:rFonts w:ascii="Times New Roman" w:hAnsi="Times New Roman"/>
                <w:sz w:val="20"/>
              </w:rPr>
              <w:t xml:space="preserve"> стандарты, пр</w:t>
            </w:r>
            <w:r w:rsidRPr="00A61BEB">
              <w:rPr>
                <w:rFonts w:ascii="Times New Roman" w:hAnsi="Times New Roman"/>
                <w:sz w:val="20"/>
              </w:rPr>
              <w:t xml:space="preserve">едусматривающие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A61BEB">
              <w:rPr>
                <w:rFonts w:ascii="Times New Roman" w:hAnsi="Times New Roman"/>
                <w:sz w:val="20"/>
              </w:rPr>
              <w:t xml:space="preserve">роизводственный </w:t>
            </w:r>
            <w:r>
              <w:rPr>
                <w:rFonts w:ascii="Times New Roman" w:hAnsi="Times New Roman"/>
                <w:sz w:val="20"/>
              </w:rPr>
              <w:t>э</w:t>
            </w:r>
            <w:r w:rsidRPr="00A61BEB">
              <w:rPr>
                <w:rFonts w:ascii="Times New Roman" w:hAnsi="Times New Roman"/>
                <w:sz w:val="20"/>
              </w:rPr>
              <w:t>кологический контроль за деятельностью подрядчиков, осуществляющих работы на производственных площадках компании.</w:t>
            </w:r>
          </w:p>
          <w:p w:rsidR="00EE64E0" w:rsidRDefault="00AD0146" w:rsidP="00D323D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="00DB04CB" w:rsidRPr="00DE491B">
                <w:rPr>
                  <w:rStyle w:val="a8"/>
                  <w:rFonts w:ascii="Times New Roman" w:hAnsi="Times New Roman"/>
                  <w:sz w:val="20"/>
                </w:rPr>
                <w:t>http://rmk-group.ru/ru/sustainable_development/ecology/</w:t>
              </w:r>
            </w:hyperlink>
          </w:p>
          <w:p w:rsidR="00DB04CB" w:rsidRPr="007B5399" w:rsidRDefault="00DB04CB" w:rsidP="00D323D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5399" w:rsidRPr="002B7CB8" w:rsidTr="00DD6D2C">
        <w:trPr>
          <w:cantSplit/>
          <w:trHeight w:val="170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shd w:val="clear" w:color="auto" w:fill="FFFFFF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  <w:r w:rsidRPr="007B5399">
              <w:rPr>
                <w:rFonts w:ascii="Times New Roman" w:hAnsi="Times New Roman"/>
                <w:sz w:val="20"/>
              </w:rPr>
              <w:t>Добровольное страхование экологических рисков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Наличие корпоративной системы добровольного страхования экологических рисков в сторонних компаниях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Добровольное страхование экологических рисков отдельных проектов или в отдельных дочерних предприятиях компании – желтый </w:t>
            </w:r>
          </w:p>
          <w:p w:rsid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  <w:r w:rsidRPr="007B5399">
              <w:rPr>
                <w:rFonts w:ascii="Times New Roman" w:hAnsi="Times New Roman"/>
                <w:sz w:val="20"/>
              </w:rPr>
              <w:t>Отсутствие добровольного страхования экологических рисков – красный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1E3A87" w:rsidRDefault="00DD6D2C" w:rsidP="00EE64E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Зеленый</w:t>
            </w:r>
          </w:p>
          <w:p w:rsidR="007B5399" w:rsidRDefault="00EE64E0" w:rsidP="00EE64E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EE64E0">
              <w:rPr>
                <w:rFonts w:ascii="Times New Roman" w:hAnsi="Times New Roman"/>
                <w:sz w:val="20"/>
              </w:rPr>
              <w:t>Наличие корпоративной системы добровольного страхования экологических рисков или создание ликвидационных/рекультивационных фондов в сторонних компаниях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DB04CB" w:rsidRPr="007B5399" w:rsidRDefault="00AD0146" w:rsidP="00EE64E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hyperlink r:id="rId15" w:history="1">
              <w:r w:rsidR="00DB04CB" w:rsidRPr="00DE491B">
                <w:rPr>
                  <w:rStyle w:val="a8"/>
                  <w:rFonts w:ascii="Times New Roman" w:hAnsi="Times New Roman"/>
                  <w:sz w:val="20"/>
                </w:rPr>
                <w:t>http://rmk-group.ru/ru/sustainable_development/ecology/</w:t>
              </w:r>
            </w:hyperlink>
          </w:p>
        </w:tc>
      </w:tr>
    </w:tbl>
    <w:p w:rsidR="007B5399" w:rsidRDefault="007B5399" w:rsidP="007B5399">
      <w:pPr>
        <w:pStyle w:val="a4"/>
        <w:ind w:left="108"/>
        <w:rPr>
          <w:rFonts w:ascii="Times New Roman Bold" w:hAnsi="Times New Roman Bold" w:hint="eastAsia"/>
          <w:sz w:val="22"/>
        </w:rPr>
      </w:pPr>
    </w:p>
    <w:p w:rsidR="007B5399" w:rsidRDefault="007B5399" w:rsidP="007B5399">
      <w:pPr>
        <w:pStyle w:val="B"/>
        <w:ind w:left="5"/>
        <w:rPr>
          <w:rFonts w:ascii="Times New Roman Bold" w:hAnsi="Times New Roman Bold" w:hint="eastAsia"/>
          <w:sz w:val="22"/>
        </w:rPr>
      </w:pPr>
    </w:p>
    <w:p w:rsidR="007B5399" w:rsidRDefault="007B5399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</w:p>
    <w:p w:rsidR="007B5399" w:rsidRDefault="007B5399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</w:p>
    <w:p w:rsidR="007B5399" w:rsidRDefault="007B5399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</w:p>
    <w:p w:rsidR="007B5399" w:rsidRDefault="007B5399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</w:p>
    <w:p w:rsidR="007B5399" w:rsidRDefault="007B5399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 w:hint="eastAsia"/>
          <w:b/>
        </w:rPr>
      </w:pPr>
    </w:p>
    <w:p w:rsidR="00A61BEB" w:rsidRDefault="00A61BEB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 Bold" w:hAnsi="Times New Roman Bold" w:hint="eastAsia"/>
          <w:b/>
        </w:rPr>
      </w:pPr>
    </w:p>
    <w:p w:rsidR="007B5399" w:rsidRDefault="007B5399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  <w:r w:rsidRPr="00725B35">
        <w:rPr>
          <w:rFonts w:ascii="Times New Roman Bold" w:hAnsi="Times New Roman Bold"/>
          <w:b/>
        </w:rPr>
        <w:t>Раздел 2. Воздействие на окружающую среду</w:t>
      </w:r>
    </w:p>
    <w:p w:rsidR="00AB649D" w:rsidRDefault="00AB649D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  <w:r w:rsidRPr="00D05D4F">
        <w:rPr>
          <w:rFonts w:asciiTheme="minorHAnsi" w:hAnsiTheme="minorHAnsi"/>
          <w:b/>
          <w:highlight w:val="cyan"/>
        </w:rPr>
        <w:t>Выручка 53 819 000 тыс. руб. (по данным СПАРК – РСБУ АО «РМК»)</w:t>
      </w:r>
    </w:p>
    <w:p w:rsidR="00DB04CB" w:rsidRDefault="00DB04CB" w:rsidP="007B539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Валовые выбросы: </w:t>
      </w:r>
      <w:hyperlink r:id="rId16" w:history="1">
        <w:r w:rsidRPr="00DE491B">
          <w:rPr>
            <w:rStyle w:val="a8"/>
            <w:rFonts w:asciiTheme="minorHAnsi" w:hAnsiTheme="minorHAnsi"/>
            <w:b/>
          </w:rPr>
          <w:t>http://rmk-group.ru/ru/sustainable_development/ecology/</w:t>
        </w:r>
      </w:hyperlink>
    </w:p>
    <w:tbl>
      <w:tblPr>
        <w:tblW w:w="892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3"/>
        <w:gridCol w:w="2728"/>
        <w:gridCol w:w="2835"/>
        <w:gridCol w:w="2835"/>
      </w:tblGrid>
      <w:tr w:rsidR="007B5399" w:rsidRPr="007B5399" w:rsidTr="007B5399">
        <w:trPr>
          <w:cantSplit/>
          <w:trHeight w:val="31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399">
              <w:rPr>
                <w:rFonts w:ascii="Times New Roman" w:hAnsi="Times New Roman"/>
                <w:b/>
                <w:sz w:val="20"/>
              </w:rPr>
              <w:t>Критерий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399">
              <w:rPr>
                <w:rFonts w:ascii="Times New Roman" w:hAnsi="Times New Roman"/>
                <w:b/>
                <w:sz w:val="20"/>
              </w:rPr>
              <w:t>Учет в рейтинге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9" w:rsidRPr="007B5399" w:rsidRDefault="007B5399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Оценка, комментарии</w:t>
            </w:r>
          </w:p>
        </w:tc>
      </w:tr>
      <w:tr w:rsidR="007B5399" w:rsidRPr="002B7CB8" w:rsidTr="0071767A">
        <w:trPr>
          <w:cantSplit/>
          <w:trHeight w:val="116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  <w:shd w:val="clear" w:color="auto" w:fill="FFFFFF"/>
              </w:rPr>
              <w:t xml:space="preserve">Удельные валовые выбросы в атмосферу </w:t>
            </w:r>
            <w:r w:rsidRPr="007B539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SO</w:t>
            </w:r>
            <w:r w:rsidRPr="007B5399">
              <w:rPr>
                <w:rFonts w:ascii="Times New Roman" w:hAnsi="Times New Roman"/>
                <w:sz w:val="12"/>
                <w:shd w:val="clear" w:color="auto" w:fill="FFFFFF"/>
              </w:rPr>
              <w:t>2</w:t>
            </w:r>
            <w:r w:rsidRPr="007B5399">
              <w:rPr>
                <w:rFonts w:ascii="Times New Roman" w:hAnsi="Times New Roman"/>
                <w:sz w:val="20"/>
              </w:rPr>
              <w:t xml:space="preserve">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Значение критерия равно или лучше показателя предыдущего года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Значение критерия хуже показателя предыдущего года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Показатель отсутствует в публичном пространстве – красный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DD6D2C" w:rsidRDefault="00DD6D2C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Положительная динамика</w:t>
            </w:r>
          </w:p>
          <w:p w:rsidR="000E587F" w:rsidRPr="0071767A" w:rsidRDefault="000E587F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71767A">
              <w:rPr>
                <w:rFonts w:asciiTheme="minorHAnsi" w:hAnsiTheme="minorHAnsi"/>
                <w:sz w:val="20"/>
              </w:rPr>
              <w:t xml:space="preserve">2016: </w:t>
            </w:r>
            <w:r w:rsidRPr="0071767A">
              <w:rPr>
                <w:rFonts w:asciiTheme="minorHAnsi" w:hAnsiTheme="minorHAnsi"/>
                <w:b/>
                <w:sz w:val="20"/>
              </w:rPr>
              <w:t>0,09</w:t>
            </w:r>
            <w:r w:rsidR="00ED473C" w:rsidRPr="00ED473C">
              <w:rPr>
                <w:rFonts w:asciiTheme="minorHAnsi" w:hAnsiTheme="minorHAnsi"/>
                <w:b/>
                <w:sz w:val="20"/>
              </w:rPr>
              <w:t>8</w:t>
            </w:r>
            <w:r w:rsidRPr="0071767A">
              <w:rPr>
                <w:rFonts w:asciiTheme="minorHAnsi" w:hAnsiTheme="minorHAnsi"/>
                <w:b/>
                <w:sz w:val="20"/>
              </w:rPr>
              <w:t>т/млн руб</w:t>
            </w:r>
            <w:r w:rsidRPr="0071767A">
              <w:rPr>
                <w:rFonts w:asciiTheme="minorHAnsi" w:hAnsiTheme="minorHAnsi"/>
                <w:sz w:val="20"/>
              </w:rPr>
              <w:t>.=</w:t>
            </w:r>
            <w:r w:rsidR="00D05D4F" w:rsidRPr="0071767A">
              <w:rPr>
                <w:rFonts w:asciiTheme="minorHAnsi" w:hAnsiTheme="minorHAnsi"/>
                <w:sz w:val="20"/>
              </w:rPr>
              <w:t>5 273,</w:t>
            </w:r>
            <w:r w:rsidR="00ED473C" w:rsidRPr="00ED473C">
              <w:rPr>
                <w:rFonts w:asciiTheme="minorHAnsi" w:hAnsiTheme="minorHAnsi"/>
                <w:sz w:val="20"/>
              </w:rPr>
              <w:t>35</w:t>
            </w:r>
            <w:r w:rsidRPr="0071767A">
              <w:rPr>
                <w:rFonts w:asciiTheme="minorHAnsi" w:hAnsiTheme="minorHAnsi"/>
                <w:sz w:val="20"/>
              </w:rPr>
              <w:t>т</w:t>
            </w:r>
            <w:r w:rsidR="00D05D4F" w:rsidRPr="0071767A">
              <w:rPr>
                <w:rFonts w:asciiTheme="minorHAnsi" w:hAnsiTheme="minorHAnsi"/>
                <w:sz w:val="20"/>
              </w:rPr>
              <w:t>/</w:t>
            </w:r>
            <w:r w:rsidRPr="0071767A">
              <w:rPr>
                <w:rFonts w:asciiTheme="minorHAnsi" w:hAnsiTheme="minorHAnsi"/>
                <w:sz w:val="20"/>
              </w:rPr>
              <w:t>53819 млн руб</w:t>
            </w:r>
          </w:p>
          <w:p w:rsidR="00D05D4F" w:rsidRPr="00D05D4F" w:rsidRDefault="000E587F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71767A">
              <w:rPr>
                <w:rFonts w:asciiTheme="minorHAnsi" w:hAnsiTheme="minorHAnsi"/>
                <w:sz w:val="20"/>
              </w:rPr>
              <w:t xml:space="preserve">2015: </w:t>
            </w:r>
            <w:r w:rsidRPr="0071767A">
              <w:rPr>
                <w:rFonts w:asciiTheme="minorHAnsi" w:hAnsiTheme="minorHAnsi"/>
                <w:b/>
                <w:sz w:val="20"/>
              </w:rPr>
              <w:t>0,223 т/млн руб</w:t>
            </w:r>
            <w:r w:rsidRPr="0071767A">
              <w:rPr>
                <w:rFonts w:asciiTheme="minorHAnsi" w:hAnsiTheme="minorHAnsi"/>
                <w:sz w:val="20"/>
              </w:rPr>
              <w:t xml:space="preserve"> =10 185,53т</w:t>
            </w:r>
            <w:r w:rsidRPr="0071767A">
              <w:rPr>
                <w:rFonts w:asciiTheme="minorHAnsi" w:hAnsiTheme="minorHAnsi"/>
                <w:sz w:val="20"/>
              </w:rPr>
              <w:cr/>
              <w:t>/</w:t>
            </w:r>
            <w:r w:rsidRPr="0071767A">
              <w:t xml:space="preserve"> </w:t>
            </w:r>
            <w:r w:rsidRPr="0071767A">
              <w:rPr>
                <w:rFonts w:asciiTheme="minorHAnsi" w:hAnsiTheme="minorHAnsi"/>
                <w:sz w:val="20"/>
              </w:rPr>
              <w:t>45 574 млн руб.</w:t>
            </w:r>
          </w:p>
        </w:tc>
      </w:tr>
      <w:tr w:rsidR="007B5399" w:rsidRPr="0071767A" w:rsidTr="0071767A">
        <w:trPr>
          <w:cantSplit/>
          <w:trHeight w:val="4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B5399">
              <w:rPr>
                <w:rFonts w:ascii="Times New Roman" w:hAnsi="Times New Roman"/>
                <w:sz w:val="20"/>
                <w:shd w:val="clear" w:color="auto" w:fill="FFFFFF"/>
              </w:rPr>
              <w:t xml:space="preserve">Удельные валовые выбросы в атмосферу </w:t>
            </w:r>
            <w:r w:rsidRPr="007B5399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NO</w:t>
            </w:r>
            <w:r w:rsidRPr="007B5399">
              <w:rPr>
                <w:rFonts w:ascii="Times New Roman" w:hAnsi="Times New Roman"/>
                <w:sz w:val="20"/>
                <w:shd w:val="clear" w:color="auto" w:fill="FFFFFF"/>
              </w:rPr>
              <w:t>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3CC2" w:rsidRPr="0071767A" w:rsidRDefault="00DD6D2C" w:rsidP="006F3CC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Отрицательная динамика</w:t>
            </w:r>
          </w:p>
          <w:p w:rsidR="000E587F" w:rsidRPr="0071767A" w:rsidRDefault="000E587F" w:rsidP="000E58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71767A">
              <w:rPr>
                <w:rFonts w:asciiTheme="minorHAnsi" w:hAnsiTheme="minorHAnsi"/>
                <w:sz w:val="20"/>
              </w:rPr>
              <w:t xml:space="preserve">2016: </w:t>
            </w:r>
            <w:r w:rsidR="00623FAF" w:rsidRPr="0071767A">
              <w:rPr>
                <w:rFonts w:asciiTheme="minorHAnsi" w:hAnsiTheme="minorHAnsi"/>
                <w:b/>
                <w:sz w:val="20"/>
              </w:rPr>
              <w:t>0,0235</w:t>
            </w:r>
            <w:r w:rsidR="00623FAF" w:rsidRPr="0071767A">
              <w:rPr>
                <w:rFonts w:asciiTheme="minorHAnsi" w:hAnsiTheme="minorHAnsi"/>
                <w:sz w:val="20"/>
              </w:rPr>
              <w:t xml:space="preserve"> </w:t>
            </w:r>
            <w:r w:rsidR="00623FAF" w:rsidRPr="0071767A">
              <w:rPr>
                <w:rFonts w:asciiTheme="minorHAnsi" w:hAnsiTheme="minorHAnsi"/>
                <w:b/>
                <w:sz w:val="20"/>
              </w:rPr>
              <w:t>т/млн руб.</w:t>
            </w:r>
            <w:r w:rsidRPr="0071767A">
              <w:rPr>
                <w:rFonts w:asciiTheme="minorHAnsi" w:hAnsiTheme="minorHAnsi"/>
                <w:sz w:val="20"/>
              </w:rPr>
              <w:t>=1262,72</w:t>
            </w:r>
            <w:r w:rsidR="00623FAF" w:rsidRPr="0071767A">
              <w:rPr>
                <w:rFonts w:asciiTheme="minorHAnsi" w:hAnsiTheme="minorHAnsi"/>
                <w:sz w:val="20"/>
              </w:rPr>
              <w:t>т</w:t>
            </w:r>
            <w:r w:rsidRPr="0071767A">
              <w:rPr>
                <w:rFonts w:asciiTheme="minorHAnsi" w:hAnsiTheme="minorHAnsi"/>
                <w:sz w:val="20"/>
              </w:rPr>
              <w:t>/53819 млн руб</w:t>
            </w:r>
          </w:p>
          <w:p w:rsidR="000E587F" w:rsidRPr="0071767A" w:rsidRDefault="000E587F" w:rsidP="000E587F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</w:rPr>
            </w:pPr>
            <w:r w:rsidRPr="0071767A">
              <w:rPr>
                <w:rFonts w:asciiTheme="minorHAnsi" w:hAnsiTheme="minorHAnsi"/>
                <w:sz w:val="20"/>
              </w:rPr>
              <w:t>2015</w:t>
            </w:r>
            <w:r w:rsidRPr="0071767A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623FAF" w:rsidRPr="0071767A">
              <w:rPr>
                <w:rFonts w:asciiTheme="minorHAnsi" w:hAnsiTheme="minorHAnsi"/>
                <w:b/>
                <w:sz w:val="20"/>
              </w:rPr>
              <w:t>0,0226т/млн руб</w:t>
            </w:r>
            <w:r w:rsidR="00623FAF" w:rsidRPr="0071767A">
              <w:rPr>
                <w:rFonts w:asciiTheme="minorHAnsi" w:hAnsiTheme="minorHAnsi"/>
                <w:sz w:val="20"/>
              </w:rPr>
              <w:t>.</w:t>
            </w:r>
            <w:r w:rsidR="0071767A" w:rsidRPr="0071767A">
              <w:rPr>
                <w:rFonts w:asciiTheme="minorHAnsi" w:hAnsiTheme="minorHAnsi"/>
                <w:sz w:val="20"/>
              </w:rPr>
              <w:t>=1 030,25/</w:t>
            </w:r>
            <w:r w:rsidRPr="0071767A">
              <w:rPr>
                <w:rFonts w:asciiTheme="minorHAnsi" w:hAnsiTheme="minorHAnsi"/>
                <w:sz w:val="20"/>
              </w:rPr>
              <w:t>45 574.</w:t>
            </w:r>
          </w:p>
          <w:p w:rsidR="000E587F" w:rsidRPr="0071767A" w:rsidRDefault="000E587F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B5399" w:rsidRPr="002B7CB8" w:rsidTr="0071767A">
        <w:trPr>
          <w:cantSplit/>
          <w:trHeight w:val="4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Удельные выбросы твердых взвешенных частиц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6D2C" w:rsidRDefault="00DD6D2C" w:rsidP="00E11C4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Положительная динамика</w:t>
            </w:r>
          </w:p>
          <w:p w:rsidR="00E11C47" w:rsidRPr="0071767A" w:rsidRDefault="00E11C47" w:rsidP="00E11C4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71767A">
              <w:rPr>
                <w:rFonts w:asciiTheme="minorHAnsi" w:hAnsiTheme="minorHAnsi"/>
                <w:sz w:val="20"/>
              </w:rPr>
              <w:t xml:space="preserve">2016: </w:t>
            </w:r>
            <w:r w:rsidRPr="0071767A">
              <w:rPr>
                <w:rFonts w:asciiTheme="minorHAnsi" w:hAnsiTheme="minorHAnsi"/>
                <w:b/>
                <w:sz w:val="20"/>
              </w:rPr>
              <w:t>0,0542т/млн руб</w:t>
            </w:r>
            <w:r w:rsidRPr="0071767A">
              <w:rPr>
                <w:rFonts w:asciiTheme="minorHAnsi" w:hAnsiTheme="minorHAnsi"/>
                <w:sz w:val="20"/>
              </w:rPr>
              <w:t>.=</w:t>
            </w:r>
            <w:r w:rsidRPr="0071767A">
              <w:t xml:space="preserve"> </w:t>
            </w:r>
            <w:r w:rsidRPr="0071767A">
              <w:rPr>
                <w:rFonts w:asciiTheme="minorHAnsi" w:hAnsiTheme="minorHAnsi"/>
                <w:sz w:val="20"/>
              </w:rPr>
              <w:t>2 918,09 т/53819 млн руб</w:t>
            </w:r>
          </w:p>
          <w:p w:rsidR="00E11C47" w:rsidRPr="00E11C47" w:rsidRDefault="00E11C47" w:rsidP="00E11C4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71767A">
              <w:rPr>
                <w:rFonts w:asciiTheme="minorHAnsi" w:hAnsiTheme="minorHAnsi"/>
                <w:sz w:val="20"/>
              </w:rPr>
              <w:t xml:space="preserve">2015: </w:t>
            </w:r>
            <w:r w:rsidRPr="0071767A">
              <w:rPr>
                <w:rFonts w:asciiTheme="minorHAnsi" w:hAnsiTheme="minorHAnsi"/>
                <w:b/>
                <w:sz w:val="20"/>
              </w:rPr>
              <w:t>0,0585 т/млн руб</w:t>
            </w:r>
            <w:r w:rsidRPr="0071767A">
              <w:rPr>
                <w:rFonts w:asciiTheme="minorHAnsi" w:hAnsiTheme="minorHAnsi"/>
                <w:sz w:val="20"/>
              </w:rPr>
              <w:t xml:space="preserve"> =2 666,19т/</w:t>
            </w:r>
            <w:r w:rsidRPr="0071767A">
              <w:t xml:space="preserve"> </w:t>
            </w:r>
            <w:r w:rsidRPr="0071767A">
              <w:rPr>
                <w:rFonts w:asciiTheme="minorHAnsi" w:hAnsiTheme="minorHAnsi"/>
                <w:sz w:val="20"/>
              </w:rPr>
              <w:t>45 574 млн руб.</w:t>
            </w:r>
          </w:p>
          <w:p w:rsidR="00E11C47" w:rsidRPr="00E11C47" w:rsidRDefault="00E11C47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B5399" w:rsidRPr="00607039" w:rsidTr="00607039">
        <w:trPr>
          <w:cantSplit/>
          <w:trHeight w:val="34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Удельные валовые выбросы парниковых газов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3F3F"/>
          </w:tcPr>
          <w:p w:rsidR="007B5399" w:rsidRPr="007B5399" w:rsidRDefault="00607039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 данных</w:t>
            </w:r>
          </w:p>
        </w:tc>
      </w:tr>
      <w:tr w:rsidR="007B5399" w:rsidRPr="002B7CB8" w:rsidTr="00607039">
        <w:trPr>
          <w:cantSplit/>
          <w:trHeight w:val="56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Удельное водоотведение загрязненных вод, не проходящих очистку, на рельеф и в поверхностные водоемы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5399" w:rsidRPr="007B5399" w:rsidRDefault="00607039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Отведение загрязненной воды, не прошедшей очистку, не осуществляется.</w:t>
            </w:r>
          </w:p>
        </w:tc>
      </w:tr>
      <w:tr w:rsidR="007B5399" w:rsidRPr="00607039" w:rsidTr="00607039">
        <w:trPr>
          <w:cantSplit/>
          <w:trHeight w:val="29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Доля нормативно очищенных сточных вод, % от общего объема водоотведения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07039" w:rsidRDefault="008878C3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  <w:p w:rsidR="007B5399" w:rsidRPr="007B5399" w:rsidRDefault="00607039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Вся вода проходит очистку</w:t>
            </w:r>
          </w:p>
        </w:tc>
      </w:tr>
      <w:tr w:rsidR="007B5399" w:rsidRPr="002B7CB8" w:rsidTr="0071767A">
        <w:trPr>
          <w:cantSplit/>
          <w:trHeight w:val="40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Удельное водопотребление на собственные нужды компании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6D2C" w:rsidRDefault="00DD6D2C" w:rsidP="00E11C4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Положительная динамика</w:t>
            </w:r>
          </w:p>
          <w:p w:rsidR="00E11C47" w:rsidRPr="0071767A" w:rsidRDefault="00E11C47" w:rsidP="00E11C4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71767A">
              <w:rPr>
                <w:rFonts w:asciiTheme="minorHAnsi" w:hAnsiTheme="minorHAnsi"/>
                <w:sz w:val="20"/>
              </w:rPr>
              <w:t xml:space="preserve">2016: </w:t>
            </w:r>
            <w:r w:rsidR="00160642" w:rsidRPr="0071767A">
              <w:rPr>
                <w:rFonts w:asciiTheme="minorHAnsi" w:hAnsiTheme="minorHAnsi"/>
                <w:b/>
                <w:sz w:val="20"/>
              </w:rPr>
              <w:t>0,2128тыс.м3</w:t>
            </w:r>
            <w:r w:rsidRPr="0071767A">
              <w:rPr>
                <w:rFonts w:asciiTheme="minorHAnsi" w:hAnsiTheme="minorHAnsi"/>
                <w:b/>
                <w:sz w:val="20"/>
              </w:rPr>
              <w:t>/млн руб</w:t>
            </w:r>
            <w:r w:rsidRPr="0071767A">
              <w:rPr>
                <w:rFonts w:asciiTheme="minorHAnsi" w:hAnsiTheme="minorHAnsi"/>
                <w:sz w:val="20"/>
              </w:rPr>
              <w:t>.=</w:t>
            </w:r>
            <w:r w:rsidRPr="0071767A">
              <w:t xml:space="preserve"> </w:t>
            </w:r>
            <w:r w:rsidRPr="0071767A">
              <w:rPr>
                <w:rFonts w:asciiTheme="minorHAnsi" w:hAnsiTheme="minorHAnsi"/>
                <w:sz w:val="20"/>
              </w:rPr>
              <w:t>11 450 </w:t>
            </w:r>
            <w:r w:rsidR="00526E7A" w:rsidRPr="0071767A">
              <w:rPr>
                <w:rFonts w:asciiTheme="minorHAnsi" w:hAnsiTheme="minorHAnsi"/>
                <w:sz w:val="20"/>
              </w:rPr>
              <w:t>тыс.</w:t>
            </w:r>
            <w:r w:rsidRPr="0071767A">
              <w:rPr>
                <w:rFonts w:asciiTheme="minorHAnsi" w:hAnsiTheme="minorHAnsi"/>
                <w:sz w:val="20"/>
              </w:rPr>
              <w:t xml:space="preserve"> м3/53819 млн руб</w:t>
            </w:r>
          </w:p>
          <w:p w:rsidR="00E11C47" w:rsidRPr="00E11C47" w:rsidRDefault="00E11C47" w:rsidP="00E11C4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71767A">
              <w:rPr>
                <w:rFonts w:asciiTheme="minorHAnsi" w:hAnsiTheme="minorHAnsi"/>
                <w:sz w:val="20"/>
              </w:rPr>
              <w:t xml:space="preserve">2015: </w:t>
            </w:r>
            <w:r w:rsidR="00160642" w:rsidRPr="0071767A">
              <w:rPr>
                <w:rFonts w:asciiTheme="minorHAnsi" w:hAnsiTheme="minorHAnsi"/>
                <w:b/>
                <w:sz w:val="20"/>
              </w:rPr>
              <w:t>0,2256</w:t>
            </w:r>
            <w:r w:rsidR="005F5243" w:rsidRPr="0071767A">
              <w:rPr>
                <w:rFonts w:asciiTheme="minorHAnsi" w:hAnsiTheme="minorHAnsi"/>
                <w:b/>
                <w:sz w:val="20"/>
              </w:rPr>
              <w:t xml:space="preserve"> тыс.м3</w:t>
            </w:r>
            <w:r w:rsidRPr="0071767A">
              <w:rPr>
                <w:rFonts w:asciiTheme="minorHAnsi" w:hAnsiTheme="minorHAnsi"/>
                <w:b/>
                <w:sz w:val="20"/>
              </w:rPr>
              <w:t>/млн руб</w:t>
            </w:r>
            <w:r w:rsidRPr="0071767A">
              <w:rPr>
                <w:rFonts w:asciiTheme="minorHAnsi" w:hAnsiTheme="minorHAnsi"/>
                <w:sz w:val="20"/>
              </w:rPr>
              <w:t xml:space="preserve"> =</w:t>
            </w:r>
            <w:r w:rsidR="00160642" w:rsidRPr="0071767A">
              <w:rPr>
                <w:rFonts w:asciiTheme="minorHAnsi" w:hAnsiTheme="minorHAnsi"/>
                <w:sz w:val="20"/>
              </w:rPr>
              <w:t>10 280 тыс. м3</w:t>
            </w:r>
            <w:r w:rsidRPr="0071767A">
              <w:rPr>
                <w:rFonts w:asciiTheme="minorHAnsi" w:hAnsiTheme="minorHAnsi"/>
                <w:sz w:val="20"/>
              </w:rPr>
              <w:t>/</w:t>
            </w:r>
            <w:r w:rsidRPr="0071767A">
              <w:t xml:space="preserve"> </w:t>
            </w:r>
            <w:r w:rsidRPr="0071767A">
              <w:rPr>
                <w:rFonts w:asciiTheme="minorHAnsi" w:hAnsiTheme="minorHAnsi"/>
                <w:sz w:val="20"/>
              </w:rPr>
              <w:t>45 574 млн руб.</w:t>
            </w:r>
          </w:p>
          <w:p w:rsidR="00E11C47" w:rsidRPr="00E11C47" w:rsidRDefault="00E11C47" w:rsidP="0016481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B5399" w:rsidRPr="002B7CB8" w:rsidTr="00AB7F74">
        <w:trPr>
          <w:cantSplit/>
          <w:trHeight w:val="9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lastRenderedPageBreak/>
              <w:t>2.8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Отношение суммы утилизированных и обезвреженных отходов (1- 4 класс) (включая отходы, утилизированные и обезвреженные сторонними организациями), к количеству отходов, находящихся в обращении (количество отходов на начало года + количество отходов, образовавшихся за год + количество отходов, поступивших от других предприятий), т/т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5399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горнодобывающих предприятий</w:t>
            </w:r>
          </w:p>
          <w:p w:rsidR="00AB7F74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 0,9</w:t>
            </w:r>
          </w:p>
          <w:p w:rsidR="00AB7F74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 0,8</w:t>
            </w:r>
          </w:p>
          <w:p w:rsidR="00AB7F74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B7F74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черновой меди</w:t>
            </w:r>
          </w:p>
          <w:p w:rsidR="00AB7F74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 1</w:t>
            </w:r>
          </w:p>
          <w:p w:rsidR="00AB7F74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 1</w:t>
            </w:r>
          </w:p>
          <w:p w:rsidR="00AB7F74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B7F74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катодной меди</w:t>
            </w:r>
          </w:p>
          <w:p w:rsidR="00AB7F74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 0,9</w:t>
            </w:r>
          </w:p>
          <w:p w:rsidR="00AB7F74" w:rsidRPr="007B5399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год 0,9</w:t>
            </w:r>
          </w:p>
        </w:tc>
      </w:tr>
      <w:tr w:rsidR="007B5399" w:rsidRPr="007B5399" w:rsidTr="00AB7F74">
        <w:trPr>
          <w:cantSplit/>
          <w:trHeight w:val="2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B5399">
              <w:rPr>
                <w:rFonts w:ascii="Times New Roman" w:hAnsi="Times New Roman"/>
                <w:sz w:val="20"/>
                <w:shd w:val="clear" w:color="auto" w:fill="FFFFFF"/>
              </w:rPr>
              <w:t xml:space="preserve">Отношение использованных отходов горных пород (хвостов, пустых и вскрышных пород) </w:t>
            </w:r>
            <w:r w:rsidRPr="007B5399">
              <w:rPr>
                <w:rFonts w:ascii="Times New Roman" w:hAnsi="Times New Roman"/>
                <w:sz w:val="20"/>
              </w:rPr>
              <w:t>на конец года к началу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6D2C" w:rsidRDefault="00DD6D2C" w:rsidP="00AB7F7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Отрицательная динамика</w:t>
            </w:r>
          </w:p>
          <w:p w:rsidR="00AB7F74" w:rsidRPr="00AB7F74" w:rsidRDefault="00AB7F74" w:rsidP="00AB7F7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AB7F74">
              <w:rPr>
                <w:rFonts w:ascii="Times New Roman" w:hAnsi="Times New Roman"/>
                <w:sz w:val="20"/>
              </w:rPr>
              <w:t>2015 год – 0,9</w:t>
            </w:r>
          </w:p>
          <w:p w:rsidR="007B5399" w:rsidRPr="007B5399" w:rsidRDefault="00AB7F74" w:rsidP="00AB7F7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7F74">
              <w:rPr>
                <w:rFonts w:ascii="Times New Roman" w:hAnsi="Times New Roman"/>
                <w:sz w:val="20"/>
              </w:rPr>
              <w:t>2016 год – 0,8</w:t>
            </w:r>
          </w:p>
        </w:tc>
      </w:tr>
      <w:tr w:rsidR="007B5399" w:rsidRPr="00EB5A43" w:rsidTr="0071767A">
        <w:trPr>
          <w:cantSplit/>
          <w:trHeight w:val="6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Отношение площади нарушенных земель на конец года к началу года, га/га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5399" w:rsidRDefault="00AB7F74" w:rsidP="00AB7F7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AB7F74">
              <w:rPr>
                <w:rFonts w:ascii="Times New Roman" w:hAnsi="Times New Roman"/>
                <w:sz w:val="20"/>
              </w:rPr>
              <w:t>На предприятиях осуществляется рекультивация нарушенных земель</w:t>
            </w:r>
          </w:p>
          <w:p w:rsidR="00AB7F74" w:rsidRPr="00DD6D2C" w:rsidRDefault="00EB5A43" w:rsidP="00AB7F7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DD6D2C">
              <w:rPr>
                <w:rFonts w:ascii="Times New Roman" w:hAnsi="Times New Roman"/>
                <w:sz w:val="20"/>
              </w:rPr>
              <w:t xml:space="preserve">За 2016 год отношение нарушенных земель составляет: </w:t>
            </w:r>
            <w:r w:rsidR="006F1FEE" w:rsidRPr="00DD6D2C">
              <w:rPr>
                <w:rFonts w:ascii="Times New Roman" w:hAnsi="Times New Roman"/>
                <w:sz w:val="20"/>
              </w:rPr>
              <w:t>(1,0154)</w:t>
            </w:r>
          </w:p>
          <w:p w:rsidR="00EB5A43" w:rsidRPr="00EB5A43" w:rsidRDefault="0071767A" w:rsidP="00AB7F7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>
              <w:t>За 2015 год нет данных</w:t>
            </w:r>
          </w:p>
        </w:tc>
      </w:tr>
      <w:tr w:rsidR="007B5399" w:rsidRPr="002B7CB8" w:rsidTr="00DD6D2C">
        <w:trPr>
          <w:cantSplit/>
          <w:trHeight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DD6D2C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  <w:highlight w:val="lightGray"/>
              </w:rPr>
            </w:pPr>
            <w:r w:rsidRPr="00DD6D2C">
              <w:rPr>
                <w:rFonts w:ascii="Times New Roman" w:hAnsi="Times New Roman"/>
                <w:sz w:val="20"/>
                <w:highlight w:val="lightGray"/>
              </w:rPr>
              <w:t>2.11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DD6D2C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  <w:highlight w:val="lightGray"/>
              </w:rPr>
            </w:pPr>
            <w:r w:rsidRPr="00DD6D2C">
              <w:rPr>
                <w:rFonts w:ascii="Times New Roman" w:hAnsi="Times New Roman"/>
                <w:sz w:val="20"/>
                <w:highlight w:val="lightGray"/>
              </w:rPr>
              <w:t>Удельная частота инцидентов с негативными последствиями для окружающей среды (зафиксировано гос. органами): например, аварии в шламонакопителях, загрязнение почв, поверхностных и подземных вод, выбросы вредных веществ в атмосферу и т.п.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DD6D2C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lightGray"/>
              </w:rPr>
            </w:pPr>
            <w:r w:rsidRPr="00DD6D2C">
              <w:rPr>
                <w:rFonts w:ascii="Times New Roman" w:hAnsi="Times New Roman"/>
                <w:sz w:val="20"/>
                <w:highlight w:val="lightGray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5399" w:rsidRPr="007B5399" w:rsidRDefault="00DD6D2C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D6D2C">
              <w:rPr>
                <w:rFonts w:ascii="Times New Roman" w:hAnsi="Times New Roman"/>
                <w:sz w:val="20"/>
                <w:highlight w:val="lightGray"/>
              </w:rPr>
              <w:t>Критерий не принимает участие в расчете</w:t>
            </w:r>
          </w:p>
        </w:tc>
      </w:tr>
      <w:tr w:rsidR="007B5399" w:rsidRPr="007B5399" w:rsidTr="008878C3">
        <w:trPr>
          <w:cantSplit/>
          <w:trHeight w:val="74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2.12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Доля сверхнормативных платежей в общем объеме платы за негативное воздействие на ОС (отношение </w:t>
            </w:r>
            <w:r w:rsidRPr="007B5399">
              <w:rPr>
                <w:rFonts w:ascii="Times New Roman" w:hAnsi="Times New Roman"/>
                <w:sz w:val="20"/>
                <w:shd w:val="clear" w:color="auto" w:fill="FFFFFF"/>
              </w:rPr>
              <w:t>экологических платежей за сверхнормативные выбросы, сбросы, за размещение отходов, к экологическим платежам, всего за отчетный год),</w:t>
            </w:r>
            <w:r w:rsidRPr="007B5399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D6D2C" w:rsidRDefault="00DD6D2C" w:rsidP="00AB7F7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Положительная динамика</w:t>
            </w:r>
          </w:p>
          <w:p w:rsidR="00AB7F74" w:rsidRPr="00AB7F74" w:rsidRDefault="00AB7F74" w:rsidP="00AB7F7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 год – 1</w:t>
            </w:r>
            <w:r w:rsidR="00E36E60">
              <w:rPr>
                <w:rFonts w:ascii="Times New Roman" w:hAnsi="Times New Roman"/>
                <w:sz w:val="20"/>
              </w:rPr>
              <w:t>,</w:t>
            </w:r>
            <w:r w:rsidRPr="00AB7F74">
              <w:rPr>
                <w:rFonts w:ascii="Times New Roman" w:hAnsi="Times New Roman"/>
                <w:sz w:val="20"/>
              </w:rPr>
              <w:t>14</w:t>
            </w:r>
            <w:r w:rsidR="00E36E60">
              <w:rPr>
                <w:rFonts w:ascii="Times New Roman" w:hAnsi="Times New Roman"/>
                <w:sz w:val="20"/>
              </w:rPr>
              <w:t>%</w:t>
            </w:r>
          </w:p>
          <w:p w:rsidR="007B5399" w:rsidRPr="007B5399" w:rsidRDefault="00AB7F74" w:rsidP="00AB7F7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2016 год – </w:t>
            </w:r>
            <w:r w:rsidR="00E36E60">
              <w:rPr>
                <w:rFonts w:ascii="Times New Roman" w:hAnsi="Times New Roman"/>
                <w:sz w:val="20"/>
              </w:rPr>
              <w:t>0,</w:t>
            </w:r>
            <w:r w:rsidRPr="00AB7F74"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 w:rsidR="007B5399" w:rsidRPr="007B5399" w:rsidTr="00AB7F74">
        <w:trPr>
          <w:cantSplit/>
          <w:trHeight w:val="5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2.13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B5399">
              <w:rPr>
                <w:rFonts w:ascii="Times New Roman" w:hAnsi="Times New Roman"/>
                <w:sz w:val="20"/>
                <w:shd w:val="clear" w:color="auto" w:fill="FFFFFF"/>
              </w:rPr>
              <w:t xml:space="preserve">Энергопроизводство из ВИЭ, в том числе для собственных нужд.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--«»--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3F3F"/>
          </w:tcPr>
          <w:p w:rsidR="007B5399" w:rsidRPr="007B5399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 данных</w:t>
            </w:r>
          </w:p>
        </w:tc>
      </w:tr>
      <w:tr w:rsidR="007B5399" w:rsidRPr="002B7CB8" w:rsidTr="00AB7F74">
        <w:trPr>
          <w:cantSplit/>
          <w:trHeight w:val="80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2.14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color w:val="F6000A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Оборотное водопользование, %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100 % -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до 70% -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до 30% - красный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5399" w:rsidRPr="007B5399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обогащении весь объем сточных вод используется в оборотном водоснабжении</w:t>
            </w:r>
          </w:p>
        </w:tc>
      </w:tr>
      <w:tr w:rsidR="007B5399" w:rsidRPr="002B7CB8" w:rsidTr="00AB7F74">
        <w:trPr>
          <w:cantSplit/>
          <w:trHeight w:val="125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lastRenderedPageBreak/>
              <w:t>2.15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Наличие работ (изучение запасов, добыча, первичная обработка и сопутствующая инфраструктура) на экологически чувствительных территориях – ООПТ, Рамсарские ВБУ, Ключевые орнитологические территории (КОТР)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Не ведутся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Работы ведутся, но компания имеет публичный план минимизации воздействия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Работы ведутся без обсуждений с заинтересованными сторонами мер минимизации – красный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7B5399" w:rsidRDefault="00AB7F74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ведутся</w:t>
            </w:r>
          </w:p>
          <w:p w:rsidR="00DB04CB" w:rsidRDefault="00AD0146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="00DB04CB" w:rsidRPr="00DE491B">
                <w:rPr>
                  <w:rStyle w:val="a8"/>
                  <w:rFonts w:ascii="Times New Roman" w:hAnsi="Times New Roman"/>
                  <w:sz w:val="20"/>
                </w:rPr>
                <w:t>http://rmk-group.ru/ru/sustainable_development/ecology/</w:t>
              </w:r>
            </w:hyperlink>
          </w:p>
          <w:p w:rsidR="00DB04CB" w:rsidRPr="007B5399" w:rsidRDefault="00DB04CB" w:rsidP="0060703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B5399" w:rsidRPr="007B5399" w:rsidRDefault="007B5399" w:rsidP="007B5399">
      <w:pPr>
        <w:pStyle w:val="a4"/>
        <w:ind w:left="108"/>
        <w:rPr>
          <w:rFonts w:ascii="Times New Roman Bold" w:hAnsi="Times New Roman Bold" w:hint="eastAsia"/>
          <w:sz w:val="22"/>
        </w:rPr>
      </w:pPr>
    </w:p>
    <w:p w:rsidR="007B5399" w:rsidRDefault="007B5399" w:rsidP="007B5399">
      <w:pPr>
        <w:pStyle w:val="11"/>
        <w:tabs>
          <w:tab w:val="left" w:pos="8440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</w:p>
    <w:p w:rsidR="007B5399" w:rsidRDefault="007B5399" w:rsidP="007B5399">
      <w:pPr>
        <w:pStyle w:val="11"/>
        <w:tabs>
          <w:tab w:val="left" w:pos="8440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</w:p>
    <w:p w:rsidR="007B5399" w:rsidRDefault="007B5399" w:rsidP="007B5399">
      <w:pPr>
        <w:pStyle w:val="11"/>
        <w:tabs>
          <w:tab w:val="left" w:pos="8440"/>
          <w:tab w:val="left" w:pos="8496"/>
          <w:tab w:val="left" w:pos="8849"/>
        </w:tabs>
        <w:jc w:val="center"/>
        <w:rPr>
          <w:rFonts w:asciiTheme="minorHAnsi" w:hAnsiTheme="minorHAnsi"/>
          <w:b/>
        </w:rPr>
      </w:pPr>
    </w:p>
    <w:p w:rsidR="007B5399" w:rsidRPr="007B5399" w:rsidRDefault="007B5399" w:rsidP="007B5399">
      <w:pPr>
        <w:pStyle w:val="11"/>
        <w:tabs>
          <w:tab w:val="left" w:pos="8440"/>
          <w:tab w:val="left" w:pos="8496"/>
          <w:tab w:val="left" w:pos="8849"/>
        </w:tabs>
        <w:jc w:val="center"/>
        <w:rPr>
          <w:rFonts w:ascii="Times New Roman Bold" w:hAnsi="Times New Roman Bold" w:hint="eastAsia"/>
          <w:b/>
        </w:rPr>
      </w:pPr>
      <w:r w:rsidRPr="007B5399">
        <w:rPr>
          <w:rFonts w:ascii="Times New Roman Bold" w:hAnsi="Times New Roman Bold"/>
          <w:b/>
        </w:rPr>
        <w:t>Раздел 3. Раскрытие информации / Прозрачность</w:t>
      </w:r>
    </w:p>
    <w:tbl>
      <w:tblPr>
        <w:tblW w:w="892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7"/>
        <w:gridCol w:w="2834"/>
        <w:gridCol w:w="2835"/>
        <w:gridCol w:w="2835"/>
      </w:tblGrid>
      <w:tr w:rsidR="007B5399" w:rsidRPr="007B5399" w:rsidTr="007B5399">
        <w:trPr>
          <w:cantSplit/>
          <w:trHeight w:val="31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7B5399">
              <w:rPr>
                <w:rFonts w:ascii="Times New Roman" w:hAnsi="Times New Roman"/>
                <w:b/>
                <w:szCs w:val="22"/>
              </w:rPr>
              <w:t>Критерий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7B5399">
              <w:rPr>
                <w:rFonts w:ascii="Times New Roman" w:hAnsi="Times New Roman"/>
                <w:b/>
                <w:szCs w:val="22"/>
              </w:rPr>
              <w:t>Учет в рейтинге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Оценка, комментарии</w:t>
            </w:r>
          </w:p>
        </w:tc>
      </w:tr>
      <w:tr w:rsidR="007B5399" w:rsidRPr="007B5399" w:rsidTr="00991E87">
        <w:trPr>
          <w:cantSplit/>
          <w:trHeight w:val="72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Наличие нефинансовой отчетности в соответствии с требованиями Руководства </w:t>
            </w:r>
            <w:r w:rsidRPr="007B5399">
              <w:rPr>
                <w:rFonts w:ascii="Times New Roman" w:hAnsi="Times New Roman"/>
                <w:sz w:val="20"/>
                <w:lang w:val="en-US"/>
              </w:rPr>
              <w:t>GRI</w:t>
            </w:r>
            <w:r w:rsidRPr="007B5399">
              <w:rPr>
                <w:rFonts w:ascii="Times New Roman" w:hAnsi="Times New Roman"/>
                <w:sz w:val="20"/>
              </w:rPr>
              <w:t xml:space="preserve"> (</w:t>
            </w:r>
            <w:r w:rsidRPr="007B5399">
              <w:rPr>
                <w:rFonts w:ascii="Times New Roman" w:hAnsi="Times New Roman"/>
                <w:sz w:val="20"/>
                <w:lang w:val="en-US"/>
              </w:rPr>
              <w:t>Global</w:t>
            </w:r>
            <w:r w:rsidRPr="007B5399">
              <w:rPr>
                <w:rFonts w:ascii="Times New Roman" w:hAnsi="Times New Roman"/>
                <w:sz w:val="20"/>
              </w:rPr>
              <w:t xml:space="preserve"> </w:t>
            </w:r>
            <w:r w:rsidRPr="007B5399">
              <w:rPr>
                <w:rFonts w:ascii="Times New Roman" w:hAnsi="Times New Roman"/>
                <w:sz w:val="20"/>
                <w:lang w:val="en-US"/>
              </w:rPr>
              <w:t>Reporting</w:t>
            </w:r>
            <w:r w:rsidRPr="007B5399">
              <w:rPr>
                <w:rFonts w:ascii="Times New Roman" w:hAnsi="Times New Roman"/>
                <w:sz w:val="20"/>
              </w:rPr>
              <w:t xml:space="preserve"> </w:t>
            </w:r>
            <w:r w:rsidRPr="007B5399">
              <w:rPr>
                <w:rFonts w:ascii="Times New Roman" w:hAnsi="Times New Roman"/>
                <w:sz w:val="20"/>
                <w:lang w:val="en-US"/>
              </w:rPr>
              <w:t>Initiative</w:t>
            </w:r>
            <w:r w:rsidRPr="007B539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Да, уровень применения GRI, </w:t>
            </w:r>
            <w:r w:rsidRPr="007B5399">
              <w:rPr>
                <w:rFonts w:ascii="Times New Roman" w:hAnsi="Times New Roman"/>
                <w:sz w:val="20"/>
                <w:lang w:val="en-US"/>
              </w:rPr>
              <w:t>A</w:t>
            </w:r>
            <w:r w:rsidRPr="007B5399">
              <w:rPr>
                <w:rFonts w:ascii="Times New Roman" w:hAnsi="Times New Roman"/>
                <w:sz w:val="20"/>
              </w:rPr>
              <w:t xml:space="preserve">/ «расширенный» -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Да, уровень применения GRI, </w:t>
            </w:r>
            <w:r w:rsidRPr="007B5399">
              <w:rPr>
                <w:rFonts w:ascii="Times New Roman" w:hAnsi="Times New Roman"/>
                <w:sz w:val="20"/>
                <w:lang w:val="en-US"/>
              </w:rPr>
              <w:t>B</w:t>
            </w:r>
            <w:r w:rsidRPr="007B5399">
              <w:rPr>
                <w:rFonts w:ascii="Times New Roman" w:hAnsi="Times New Roman"/>
                <w:sz w:val="20"/>
              </w:rPr>
              <w:t xml:space="preserve"> или </w:t>
            </w:r>
            <w:r w:rsidRPr="007B5399">
              <w:rPr>
                <w:rFonts w:ascii="Times New Roman" w:hAnsi="Times New Roman"/>
                <w:sz w:val="20"/>
                <w:lang w:val="en-US"/>
              </w:rPr>
              <w:t>C</w:t>
            </w:r>
            <w:r w:rsidRPr="007B5399">
              <w:rPr>
                <w:rFonts w:ascii="Times New Roman" w:hAnsi="Times New Roman"/>
                <w:sz w:val="20"/>
              </w:rPr>
              <w:t xml:space="preserve">/ «основной» -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Нет – красный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13F3F"/>
          </w:tcPr>
          <w:p w:rsidR="007B5399" w:rsidRDefault="00991E87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  <w:p w:rsidR="00991E87" w:rsidRPr="007B5399" w:rsidRDefault="00991E87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5399" w:rsidRPr="002D7A68" w:rsidTr="00991E87">
        <w:trPr>
          <w:cantSplit/>
          <w:trHeight w:val="240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B5399">
              <w:rPr>
                <w:rFonts w:ascii="Times New Roman" w:hAnsi="Times New Roman"/>
                <w:sz w:val="20"/>
                <w:lang w:val="en-US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Внешнее подтверждение (заверение) нефинансовой отчетности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Профессиональное заверение (на основании профессиональных стандартов заверения ISAE 3000, AA1000AS) и заверение с учетом мнения заинтересованных сторон (включая общественное заверение)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Профессиональное заверение (на основании профессиональных стандартов заверения ISAE 3000, AA1000AS) или заверение с учетом мнения заинтересованных сторон (включая общественное заверение)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Внешнее заверение отсутствует или отсутствует отчетность в соответствии с требованиями Руководства GRI – красный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13F3F"/>
          </w:tcPr>
          <w:p w:rsidR="007B5399" w:rsidRDefault="00991E87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  <w:p w:rsidR="00991E87" w:rsidRPr="007B5399" w:rsidRDefault="00991E87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7CB8" w:rsidRPr="00145F68" w:rsidTr="001424D6">
        <w:trPr>
          <w:cantSplit/>
          <w:trHeight w:val="83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CB8" w:rsidRPr="007B5399" w:rsidRDefault="002B7CB8" w:rsidP="001424D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CB8" w:rsidRPr="007B5399" w:rsidRDefault="002B7CB8" w:rsidP="001424D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Доступность документации по оценке воздействия на окружающую среду (например, ОВОС) для общественности с обязательным размещением в сети Интернет (в том числе сохранение доступа к документам после завершения общественного обсуждения)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CB8" w:rsidRPr="007B5399" w:rsidRDefault="002B7CB8" w:rsidP="001424D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Да, с механизмом обратной связи – зеленый </w:t>
            </w:r>
          </w:p>
          <w:p w:rsidR="002B7CB8" w:rsidRPr="007B5399" w:rsidRDefault="002B7CB8" w:rsidP="001424D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Да, без механизма обратной связи – желтый </w:t>
            </w:r>
          </w:p>
          <w:p w:rsidR="002B7CB8" w:rsidRDefault="002B7CB8" w:rsidP="001424D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Нет – красный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3F3F"/>
          </w:tcPr>
          <w:p w:rsidR="002B7CB8" w:rsidRDefault="002B7CB8" w:rsidP="001424D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  <w:p w:rsidR="002B7CB8" w:rsidRPr="007B5399" w:rsidRDefault="002B7CB8" w:rsidP="001424D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5399" w:rsidRPr="00145F68" w:rsidTr="00991E87">
        <w:trPr>
          <w:cantSplit/>
          <w:trHeight w:val="83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lastRenderedPageBreak/>
              <w:t>3.4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Доступность Планов ликвидации аварий (в части воздействия на окружающую среду) и/или аналогичных документов по готовности к ликвидации к ЧС для общественности с обязательным размещением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Да, с механизмом обратной связи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Да, без механизма обратной связи – желтый </w:t>
            </w:r>
          </w:p>
          <w:p w:rsid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Нет – красный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3F3F"/>
          </w:tcPr>
          <w:p w:rsidR="007B5399" w:rsidRDefault="00991E87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  <w:p w:rsidR="00991E87" w:rsidRPr="007B5399" w:rsidRDefault="00991E87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5399" w:rsidRPr="002B7CB8" w:rsidTr="00991E87">
        <w:trPr>
          <w:cantSplit/>
          <w:trHeight w:val="99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Информирование общественности об авариях и инцидентах со значительным (вызвавшим общественный резонанс) социально-экологическим ущербом, включая деятельность компаний подрядчиков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Есть объективная информация или крупные аварии за отчетный период отсутствуют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Информация фрагментарна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Информация отсутствует или недостоверна – красный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7B5399" w:rsidRPr="007B5399" w:rsidRDefault="00991E87" w:rsidP="00991E8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991E87">
              <w:rPr>
                <w:rFonts w:ascii="Times New Roman" w:hAnsi="Times New Roman"/>
                <w:sz w:val="20"/>
              </w:rPr>
              <w:t>Крупных аварий со значительным социально-экологическим ущербом,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1E87">
              <w:rPr>
                <w:rFonts w:ascii="Times New Roman" w:hAnsi="Times New Roman"/>
                <w:sz w:val="20"/>
              </w:rPr>
              <w:t xml:space="preserve">включая деятельность компаний подрядчиков, в </w:t>
            </w:r>
            <w:r>
              <w:rPr>
                <w:rFonts w:ascii="Times New Roman" w:hAnsi="Times New Roman"/>
                <w:sz w:val="20"/>
              </w:rPr>
              <w:t xml:space="preserve">2016 г. </w:t>
            </w:r>
            <w:r w:rsidRPr="00991E87">
              <w:rPr>
                <w:rFonts w:ascii="Times New Roman" w:hAnsi="Times New Roman"/>
                <w:sz w:val="20"/>
              </w:rPr>
              <w:t>не происходило</w:t>
            </w:r>
          </w:p>
        </w:tc>
      </w:tr>
      <w:tr w:rsidR="007B5399" w:rsidRPr="00571A09" w:rsidTr="009F1823">
        <w:trPr>
          <w:cantSplit/>
          <w:trHeight w:val="97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Информирование общественности о наличии спорных экологических ситуаций на территориях присутствия компании, включая деятельность компаний подрядчиков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Есть объективная информация или спорные экологические ситуации за отчетный период отсутствуют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Информация фрагментарна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Информация отсутствует или недостоверна – красный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B5399" w:rsidRDefault="008878C3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Спорны</w:t>
            </w:r>
            <w:r w:rsidR="00CB7ED4">
              <w:rPr>
                <w:rFonts w:ascii="Times New Roman" w:hAnsi="Times New Roman"/>
                <w:sz w:val="20"/>
              </w:rPr>
              <w:t>е ситуации найдены</w:t>
            </w:r>
          </w:p>
          <w:p w:rsidR="00CB7ED4" w:rsidRPr="00CB7ED4" w:rsidRDefault="00CB7ED4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Томинский ГОК</w:t>
            </w:r>
          </w:p>
          <w:p w:rsidR="00DD6D2C" w:rsidRDefault="00CB7ED4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7ED4">
              <w:rPr>
                <w:rFonts w:ascii="Times New Roman" w:hAnsi="Times New Roman"/>
                <w:sz w:val="20"/>
              </w:rPr>
              <w:t>Движение «Стоп ГОК» существует с 2016 года. Его участники выступают против строительства в поселке Томинский горно-обогатительного комбината. Они заявляют, что предприятие, которое будет располагаться в 12 км от Челябинска, окажет пагубное влияние на экологическую обстановку в регионе: загрязнит воздух и подземные воды, что может привести к экологической катастрофе.</w:t>
            </w:r>
          </w:p>
          <w:p w:rsidR="00987D6A" w:rsidRDefault="00AD0146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="00987D6A" w:rsidRPr="00167D28">
                <w:rPr>
                  <w:rStyle w:val="a8"/>
                  <w:rFonts w:ascii="Times New Roman" w:hAnsi="Times New Roman"/>
                  <w:sz w:val="20"/>
                </w:rPr>
                <w:t>http://rmk-group.ru/ru/smi/press-release/rmk-predstavila-proekt-tominskogo-goka-na-zasedanii-rabochey-gruppy-obshchestvennoy-palaty-chelyabin/</w:t>
              </w:r>
            </w:hyperlink>
          </w:p>
          <w:p w:rsidR="00987D6A" w:rsidRDefault="00AD0146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="00987D6A" w:rsidRPr="00167D28">
                <w:rPr>
                  <w:rStyle w:val="a8"/>
                  <w:rFonts w:ascii="Times New Roman" w:hAnsi="Times New Roman"/>
                  <w:sz w:val="20"/>
                </w:rPr>
                <w:t>http://tomgok.ru/news/5560/</w:t>
              </w:r>
            </w:hyperlink>
          </w:p>
          <w:p w:rsidR="00987D6A" w:rsidRPr="008878C3" w:rsidRDefault="00987D6A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5399" w:rsidRPr="002B7CB8" w:rsidTr="008878C3">
        <w:trPr>
          <w:cantSplit/>
          <w:trHeight w:val="12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Наличие установленного порядка работы с обращениями граждан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Наличие общественного совета из числа местного (в т.ч. коренного) населения для участия в принятии решений по поддержке местных природоохранных инициатив, обсуждении нефинансовой отчетности и т.п. – зеленый 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Наличие порядка работы с обращениями граждан – желтый </w:t>
            </w:r>
          </w:p>
          <w:p w:rsid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Нет – красный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5399" w:rsidRDefault="008878C3" w:rsidP="008878C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сайте есть контакты</w:t>
            </w:r>
          </w:p>
          <w:p w:rsidR="00DB04CB" w:rsidRDefault="008878C3" w:rsidP="008878C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8878C3">
              <w:rPr>
                <w:rFonts w:ascii="Times New Roman" w:hAnsi="Times New Roman"/>
                <w:sz w:val="20"/>
              </w:rPr>
              <w:t>Для предложений, связанных с работой АО «Михеевский ГОК», в общедоступных местах в селах Варна, Катенино и Новониколаевка, а также на площадке предприятия установлены информационные щиты и почтовые ящики.</w:t>
            </w:r>
          </w:p>
          <w:p w:rsidR="00571A09" w:rsidRDefault="00AD0146" w:rsidP="008878C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hyperlink r:id="rId20" w:history="1">
              <w:r w:rsidR="00571A09" w:rsidRPr="00167D28">
                <w:rPr>
                  <w:rStyle w:val="a8"/>
                  <w:rFonts w:ascii="Times New Roman" w:hAnsi="Times New Roman"/>
                  <w:sz w:val="20"/>
                </w:rPr>
                <w:t>http://rmk-group.ru/ru/contact/</w:t>
              </w:r>
            </w:hyperlink>
          </w:p>
          <w:p w:rsidR="00571A09" w:rsidRPr="007B5399" w:rsidRDefault="00AD0146" w:rsidP="008878C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hyperlink r:id="rId21" w:history="1">
              <w:r w:rsidR="00571A09" w:rsidRPr="00167D28">
                <w:rPr>
                  <w:rStyle w:val="a8"/>
                  <w:rFonts w:ascii="Times New Roman" w:hAnsi="Times New Roman"/>
                  <w:sz w:val="20"/>
                </w:rPr>
                <w:t>http://rmk-group.ru/ru/sustainable_development/ecology/</w:t>
              </w:r>
            </w:hyperlink>
          </w:p>
        </w:tc>
      </w:tr>
      <w:tr w:rsidR="007B5399" w:rsidRPr="007B5399" w:rsidTr="004E1FE4">
        <w:trPr>
          <w:cantSplit/>
          <w:trHeight w:val="82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lastRenderedPageBreak/>
              <w:t>3.8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Доступность за отчетный период на сайте или в открытых источниках информации, соответствующей пп. 1-8 Раздела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&gt;80% ответов "да"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50-80% ответов "да" – желтый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&lt;50% ответов "да" – красный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7B5399" w:rsidRDefault="00DD6D2C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Зеленый</w:t>
            </w:r>
          </w:p>
          <w:p w:rsidR="00DD6D2C" w:rsidRPr="007B5399" w:rsidRDefault="00DD6D2C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83,3%</w:t>
            </w:r>
          </w:p>
        </w:tc>
      </w:tr>
      <w:tr w:rsidR="007B5399" w:rsidRPr="00B6328B" w:rsidTr="006F3CC2">
        <w:trPr>
          <w:cantSplit/>
          <w:trHeight w:val="84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>Доступность за отчетный период на сайте или в открытых источниках информации, соответствующей пп. 1-15 Раздела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&gt;80% ответов "да" – зеленый </w:t>
            </w:r>
          </w:p>
          <w:p w:rsidR="007B5399" w:rsidRP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B5399">
              <w:rPr>
                <w:rFonts w:ascii="Times New Roman" w:hAnsi="Times New Roman"/>
                <w:sz w:val="20"/>
              </w:rPr>
              <w:t xml:space="preserve">50-80% ответов "да" – желтый </w:t>
            </w:r>
          </w:p>
          <w:p w:rsidR="007B5399" w:rsidRDefault="007B5399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hint="eastAsia"/>
              </w:rPr>
            </w:pPr>
            <w:r w:rsidRPr="007B5399">
              <w:rPr>
                <w:rFonts w:ascii="Times New Roman" w:hAnsi="Times New Roman"/>
                <w:sz w:val="20"/>
              </w:rPr>
              <w:t>&lt;50% ответов "да" – красный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5399" w:rsidRDefault="00DD6D2C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Зеленый</w:t>
            </w:r>
          </w:p>
          <w:p w:rsidR="00DD6D2C" w:rsidRPr="007B5399" w:rsidRDefault="00DD6D2C" w:rsidP="00A03EC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85,7%</w:t>
            </w:r>
          </w:p>
        </w:tc>
      </w:tr>
    </w:tbl>
    <w:p w:rsidR="007B5399" w:rsidRDefault="007B5399" w:rsidP="007B5399">
      <w:pPr>
        <w:pStyle w:val="a4"/>
        <w:ind w:left="108"/>
        <w:rPr>
          <w:rFonts w:ascii="Times New Roman Bold" w:hAnsi="Times New Roman Bold" w:hint="eastAsia"/>
          <w:sz w:val="22"/>
        </w:rPr>
      </w:pPr>
    </w:p>
    <w:p w:rsidR="007B5399" w:rsidRDefault="007B5399" w:rsidP="007B5399">
      <w:pPr>
        <w:pStyle w:val="B"/>
        <w:ind w:left="5"/>
        <w:rPr>
          <w:rFonts w:ascii="Times New Roman Bold" w:hAnsi="Times New Roman Bold" w:hint="eastAsia"/>
          <w:sz w:val="22"/>
        </w:rPr>
      </w:pPr>
    </w:p>
    <w:p w:rsidR="007B5399" w:rsidRDefault="007B5399" w:rsidP="007B5399">
      <w:pPr>
        <w:pStyle w:val="BA"/>
        <w:ind w:left="108"/>
        <w:rPr>
          <w:rFonts w:ascii="Times New Roman Bold" w:hAnsi="Times New Roman Bold" w:hint="eastAsia"/>
          <w:sz w:val="22"/>
        </w:rPr>
      </w:pPr>
    </w:p>
    <w:p w:rsidR="007B5399" w:rsidRDefault="007B5399" w:rsidP="007B5399">
      <w:pPr>
        <w:pStyle w:val="A3"/>
        <w:ind w:left="108"/>
        <w:rPr>
          <w:rFonts w:ascii="Times New Roman Bold" w:hAnsi="Times New Roman Bold" w:hint="eastAsia"/>
          <w:sz w:val="22"/>
        </w:rPr>
      </w:pPr>
    </w:p>
    <w:p w:rsidR="00420EB7" w:rsidRDefault="00420EB7"/>
    <w:sectPr w:rsidR="00420EB7" w:rsidSect="007B5399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46" w:rsidRDefault="00AD0146">
      <w:r>
        <w:separator/>
      </w:r>
    </w:p>
  </w:endnote>
  <w:endnote w:type="continuationSeparator" w:id="0">
    <w:p w:rsidR="00AD0146" w:rsidRDefault="00A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49" w:rsidRDefault="00ED473C">
    <w:pPr>
      <w:pStyle w:val="10"/>
      <w:tabs>
        <w:tab w:val="clear" w:pos="9355"/>
        <w:tab w:val="right" w:pos="9329"/>
      </w:tabs>
      <w:jc w:val="right"/>
      <w:rPr>
        <w:rFonts w:ascii="Times New Roman" w:eastAsia="Times New Roman" w:hAnsi="Times New Roman"/>
        <w:color w:val="auto"/>
        <w:sz w:val="20"/>
      </w:rPr>
    </w:pPr>
    <w:r>
      <w:fldChar w:fldCharType="begin"/>
    </w:r>
    <w:r w:rsidR="007B5399">
      <w:instrText xml:space="preserve"> PAGE </w:instrText>
    </w:r>
    <w:r>
      <w:fldChar w:fldCharType="separate"/>
    </w:r>
    <w:r w:rsidR="007B5399">
      <w:rPr>
        <w:rFonts w:hint="eastAsia"/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49" w:rsidRDefault="00ED473C">
    <w:pPr>
      <w:pStyle w:val="10"/>
      <w:tabs>
        <w:tab w:val="clear" w:pos="9355"/>
        <w:tab w:val="right" w:pos="9329"/>
      </w:tabs>
      <w:jc w:val="right"/>
      <w:rPr>
        <w:rFonts w:ascii="Times New Roman" w:eastAsia="Times New Roman" w:hAnsi="Times New Roman"/>
        <w:color w:val="auto"/>
        <w:sz w:val="20"/>
      </w:rPr>
    </w:pPr>
    <w:r>
      <w:fldChar w:fldCharType="begin"/>
    </w:r>
    <w:r w:rsidR="007B5399">
      <w:instrText xml:space="preserve"> PAGE </w:instrText>
    </w:r>
    <w:r>
      <w:fldChar w:fldCharType="separate"/>
    </w:r>
    <w:r w:rsidR="002B7CB8">
      <w:rPr>
        <w:rFonts w:hint="eastAsia"/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46" w:rsidRDefault="00AD0146">
      <w:r>
        <w:separator/>
      </w:r>
    </w:p>
  </w:footnote>
  <w:footnote w:type="continuationSeparator" w:id="0">
    <w:p w:rsidR="00AD0146" w:rsidRDefault="00AD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49" w:rsidRDefault="00AD0146">
    <w:pPr>
      <w:pStyle w:val="1"/>
      <w:tabs>
        <w:tab w:val="clear" w:pos="9355"/>
        <w:tab w:val="right" w:pos="9329"/>
      </w:tabs>
      <w:jc w:val="right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49" w:rsidRDefault="00AD0146">
    <w:pPr>
      <w:pStyle w:val="1"/>
      <w:tabs>
        <w:tab w:val="clear" w:pos="9355"/>
        <w:tab w:val="right" w:pos="9329"/>
      </w:tabs>
      <w:jc w:val="right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3E7"/>
    <w:multiLevelType w:val="multilevel"/>
    <w:tmpl w:val="C2142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399"/>
    <w:rsid w:val="000E587F"/>
    <w:rsid w:val="00144F0C"/>
    <w:rsid w:val="00160642"/>
    <w:rsid w:val="00164817"/>
    <w:rsid w:val="001E1A54"/>
    <w:rsid w:val="001E3A87"/>
    <w:rsid w:val="002A2895"/>
    <w:rsid w:val="002B7CB8"/>
    <w:rsid w:val="002D7A68"/>
    <w:rsid w:val="002E6DDA"/>
    <w:rsid w:val="002F2F7C"/>
    <w:rsid w:val="003D7535"/>
    <w:rsid w:val="00420EB7"/>
    <w:rsid w:val="00442942"/>
    <w:rsid w:val="004D64EC"/>
    <w:rsid w:val="004E1FE4"/>
    <w:rsid w:val="00526E7A"/>
    <w:rsid w:val="00571A09"/>
    <w:rsid w:val="005E4E13"/>
    <w:rsid w:val="005F5243"/>
    <w:rsid w:val="00607039"/>
    <w:rsid w:val="00623FAF"/>
    <w:rsid w:val="00673C9B"/>
    <w:rsid w:val="006C170E"/>
    <w:rsid w:val="006F1FEE"/>
    <w:rsid w:val="006F3CC2"/>
    <w:rsid w:val="00703370"/>
    <w:rsid w:val="0071767A"/>
    <w:rsid w:val="007B5399"/>
    <w:rsid w:val="008109FD"/>
    <w:rsid w:val="008878C3"/>
    <w:rsid w:val="00887E21"/>
    <w:rsid w:val="008A14FD"/>
    <w:rsid w:val="00987D6A"/>
    <w:rsid w:val="00991E87"/>
    <w:rsid w:val="009F1823"/>
    <w:rsid w:val="00A154C4"/>
    <w:rsid w:val="00A52C9C"/>
    <w:rsid w:val="00A57F41"/>
    <w:rsid w:val="00A61BEB"/>
    <w:rsid w:val="00AB649D"/>
    <w:rsid w:val="00AB7F74"/>
    <w:rsid w:val="00AD0146"/>
    <w:rsid w:val="00AF34E2"/>
    <w:rsid w:val="00B3263A"/>
    <w:rsid w:val="00B62B9F"/>
    <w:rsid w:val="00C335F0"/>
    <w:rsid w:val="00CB7ED4"/>
    <w:rsid w:val="00CF03FA"/>
    <w:rsid w:val="00D05D4F"/>
    <w:rsid w:val="00D323D7"/>
    <w:rsid w:val="00D56FC1"/>
    <w:rsid w:val="00D811C5"/>
    <w:rsid w:val="00DB04CB"/>
    <w:rsid w:val="00DD6D2C"/>
    <w:rsid w:val="00E11C47"/>
    <w:rsid w:val="00E36E60"/>
    <w:rsid w:val="00EB4FA0"/>
    <w:rsid w:val="00EB5A43"/>
    <w:rsid w:val="00ED473C"/>
    <w:rsid w:val="00EE64E0"/>
    <w:rsid w:val="00F06194"/>
    <w:rsid w:val="00F16CBF"/>
    <w:rsid w:val="00F57BE9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84AA5-4CA5-4A40-BA39-E39E819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7B5399"/>
    <w:pPr>
      <w:tabs>
        <w:tab w:val="center" w:pos="4677"/>
        <w:tab w:val="right" w:pos="9355"/>
      </w:tabs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0">
    <w:name w:val="Нижний колонтитул1"/>
    <w:rsid w:val="007B5399"/>
    <w:pPr>
      <w:tabs>
        <w:tab w:val="center" w:pos="4677"/>
        <w:tab w:val="right" w:pos="9355"/>
      </w:tabs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1">
    <w:name w:val="Обычный1"/>
    <w:rsid w:val="007B5399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3">
    <w:name w:val="Свободная форма A"/>
    <w:rsid w:val="007B53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4">
    <w:name w:val="Свободная форма"/>
    <w:rsid w:val="007B53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B">
    <w:name w:val="Свободная форма B"/>
    <w:autoRedefine/>
    <w:rsid w:val="007B53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BA">
    <w:name w:val="Свободная форма B A"/>
    <w:rsid w:val="007B53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4D64EC"/>
    <w:pPr>
      <w:widowControl w:val="0"/>
    </w:pPr>
  </w:style>
  <w:style w:type="character" w:customStyle="1" w:styleId="a6">
    <w:name w:val="Основной текст Знак"/>
    <w:basedOn w:val="a0"/>
    <w:link w:val="a5"/>
    <w:uiPriority w:val="1"/>
    <w:rsid w:val="004D64E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4D64E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64E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11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5"/>
    <w:rPr>
      <w:rFonts w:ascii="Segoe UI" w:eastAsia="Times New Roman" w:hAnsi="Segoe UI" w:cs="Segoe UI"/>
      <w:sz w:val="18"/>
      <w:szCs w:val="18"/>
      <w:lang w:val="en-US"/>
    </w:rPr>
  </w:style>
  <w:style w:type="character" w:styleId="ab">
    <w:name w:val="FollowedHyperlink"/>
    <w:basedOn w:val="a0"/>
    <w:uiPriority w:val="99"/>
    <w:semiHidden/>
    <w:unhideWhenUsed/>
    <w:rsid w:val="00DB0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k-group.ru/ru/sustainable_development/ecology/" TargetMode="External"/><Relationship Id="rId13" Type="http://schemas.openxmlformats.org/officeDocument/2006/relationships/hyperlink" Target="http://rmk-group.ru/ru/sustainable_development/ecology/" TargetMode="External"/><Relationship Id="rId18" Type="http://schemas.openxmlformats.org/officeDocument/2006/relationships/hyperlink" Target="http://rmk-group.ru/ru/smi/press-release/rmk-predstavila-proekt-tominskogo-goka-na-zasedanii-rabochey-gruppy-obshchestvennoy-palaty-chelyabi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mk-group.ru/ru/sustainable_development/ecology/" TargetMode="External"/><Relationship Id="rId7" Type="http://schemas.openxmlformats.org/officeDocument/2006/relationships/hyperlink" Target="http://rmk-group.ru/ru/" TargetMode="External"/><Relationship Id="rId12" Type="http://schemas.openxmlformats.org/officeDocument/2006/relationships/hyperlink" Target="http://rmk-group.ru/ru/activities/enterprises/karabashmed/" TargetMode="External"/><Relationship Id="rId17" Type="http://schemas.openxmlformats.org/officeDocument/2006/relationships/hyperlink" Target="http://rmk-group.ru/ru/sustainable_development/ecology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rmk-group.ru/ru/sustainable_development/ecology/" TargetMode="External"/><Relationship Id="rId20" Type="http://schemas.openxmlformats.org/officeDocument/2006/relationships/hyperlink" Target="http://rmk-group.ru/ru/contac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mk-group.ru/ru/activities/enterprises/mikheevsky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mk-group.ru/ru/sustainable_development/ecology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rmk-group.ru/ru/sustainable_development/ecology/" TargetMode="External"/><Relationship Id="rId19" Type="http://schemas.openxmlformats.org/officeDocument/2006/relationships/hyperlink" Target="http://tomgok.ru/news/55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mk-group.ru/ru/sustainable_development/our_approach/" TargetMode="External"/><Relationship Id="rId14" Type="http://schemas.openxmlformats.org/officeDocument/2006/relationships/hyperlink" Target="http://rmk-group.ru/ru/sustainable_development/ecology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Yudaeva</dc:creator>
  <cp:lastModifiedBy>Daria Yudaeva</cp:lastModifiedBy>
  <cp:revision>12</cp:revision>
  <dcterms:created xsi:type="dcterms:W3CDTF">2017-12-13T12:18:00Z</dcterms:created>
  <dcterms:modified xsi:type="dcterms:W3CDTF">2018-03-14T08:01:00Z</dcterms:modified>
</cp:coreProperties>
</file>